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2C" w:rsidRPr="006F012C" w:rsidRDefault="006F012C" w:rsidP="006F012C">
      <w:pPr>
        <w:spacing w:line="240" w:lineRule="auto"/>
        <w:jc w:val="center"/>
        <w:rPr>
          <w:b/>
          <w:u w:val="single"/>
          <w:lang w:val="en-US"/>
        </w:rPr>
      </w:pPr>
      <w:bookmarkStart w:id="0" w:name="_GoBack"/>
      <w:bookmarkEnd w:id="0"/>
      <w:r w:rsidRPr="006F012C">
        <w:rPr>
          <w:b/>
          <w:u w:val="single"/>
          <w:lang w:val="en-US"/>
        </w:rPr>
        <w:t>Director of the Office of the Commissioner for Human Rights</w:t>
      </w:r>
    </w:p>
    <w:p w:rsidR="006F012C" w:rsidRPr="006F012C" w:rsidRDefault="006F012C" w:rsidP="006F012C">
      <w:pPr>
        <w:spacing w:line="240" w:lineRule="auto"/>
        <w:jc w:val="center"/>
        <w:rPr>
          <w:b/>
          <w:u w:val="single"/>
          <w:lang w:val="en-US"/>
        </w:rPr>
      </w:pPr>
      <w:r w:rsidRPr="006F012C">
        <w:rPr>
          <w:b/>
          <w:u w:val="single"/>
          <w:lang w:val="en-US"/>
        </w:rPr>
        <w:t>Office of the Commissioner for Human Rights</w:t>
      </w:r>
    </w:p>
    <w:p w:rsid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Location: Strasbourg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Reference: e7/2021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Publication: 04/03/2021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Deadline: 25/03/2021</w:t>
      </w:r>
    </w:p>
    <w:p w:rsidR="006F012C" w:rsidRPr="006F012C" w:rsidRDefault="006F012C" w:rsidP="006F012C">
      <w:pPr>
        <w:spacing w:line="240" w:lineRule="auto"/>
        <w:rPr>
          <w:u w:val="single"/>
          <w:lang w:val="en-US"/>
        </w:rPr>
      </w:pPr>
      <w:r w:rsidRPr="006F012C">
        <w:rPr>
          <w:u w:val="single"/>
          <w:lang w:val="en-US"/>
        </w:rPr>
        <w:t>Who we are</w:t>
      </w:r>
    </w:p>
    <w:p w:rsid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With over 2000 staff representing all its 47 member States, the Counc</w:t>
      </w:r>
      <w:r>
        <w:rPr>
          <w:lang w:val="en-US"/>
        </w:rPr>
        <w:t xml:space="preserve">il of Europe is a multicultural </w:t>
      </w:r>
      <w:proofErr w:type="spellStart"/>
      <w:r w:rsidRPr="006F012C">
        <w:rPr>
          <w:lang w:val="en-US"/>
        </w:rPr>
        <w:t>organisation</w:t>
      </w:r>
      <w:proofErr w:type="spellEnd"/>
      <w:r w:rsidRPr="006F012C">
        <w:rPr>
          <w:lang w:val="en-US"/>
        </w:rPr>
        <w:t>. We all strive towards protecting human rights, democracy and the</w:t>
      </w:r>
      <w:r>
        <w:rPr>
          <w:lang w:val="en-US"/>
        </w:rPr>
        <w:t xml:space="preserve"> rule of law and our three core </w:t>
      </w:r>
      <w:r w:rsidRPr="006F012C">
        <w:rPr>
          <w:lang w:val="en-US"/>
        </w:rPr>
        <w:t>values - professionalism, integrity and r</w:t>
      </w:r>
      <w:r>
        <w:rPr>
          <w:lang w:val="en-US"/>
        </w:rPr>
        <w:t xml:space="preserve">espect - guide the way we work. 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u w:val="single"/>
          <w:lang w:val="en-US"/>
        </w:rPr>
        <w:t>The Commissioner for Human Rights</w:t>
      </w:r>
      <w:r w:rsidRPr="006F012C">
        <w:rPr>
          <w:lang w:val="en-US"/>
        </w:rPr>
        <w:t xml:space="preserve"> is an independent and impartial non-judicial institu</w:t>
      </w:r>
      <w:r>
        <w:rPr>
          <w:lang w:val="en-US"/>
        </w:rPr>
        <w:t xml:space="preserve">tion established in 1999 by the </w:t>
      </w:r>
      <w:r w:rsidRPr="006F012C">
        <w:rPr>
          <w:lang w:val="en-US"/>
        </w:rPr>
        <w:t>Council of Europe to promote awareness of and respect for human rights in the 47 Counc</w:t>
      </w:r>
      <w:r>
        <w:rPr>
          <w:lang w:val="en-US"/>
        </w:rPr>
        <w:t xml:space="preserve">il of Europe member states. The </w:t>
      </w:r>
      <w:r w:rsidRPr="006F012C">
        <w:rPr>
          <w:lang w:val="en-US"/>
        </w:rPr>
        <w:t>Commissioner is elected for a six-year term by the Parliamentary Assembly of the Council of Eu</w:t>
      </w:r>
      <w:r>
        <w:rPr>
          <w:lang w:val="en-US"/>
        </w:rPr>
        <w:t xml:space="preserve">rope. The main objectives, laid </w:t>
      </w:r>
      <w:r w:rsidRPr="006F012C">
        <w:rPr>
          <w:lang w:val="en-US"/>
        </w:rPr>
        <w:t>out in Resolution (99) 50 on the Council of Europe Commissioner for Human Rights are to fost</w:t>
      </w:r>
      <w:r>
        <w:rPr>
          <w:lang w:val="en-US"/>
        </w:rPr>
        <w:t xml:space="preserve">er the effective observance and </w:t>
      </w:r>
      <w:r w:rsidRPr="006F012C">
        <w:rPr>
          <w:lang w:val="en-US"/>
        </w:rPr>
        <w:t xml:space="preserve">enjoyment of human rights as embodied in relevant instruments of the Council of Europe </w:t>
      </w:r>
      <w:r>
        <w:rPr>
          <w:lang w:val="en-US"/>
        </w:rPr>
        <w:t xml:space="preserve">and to promote education in and </w:t>
      </w:r>
      <w:r w:rsidRPr="006F012C">
        <w:rPr>
          <w:lang w:val="en-US"/>
        </w:rPr>
        <w:t>awareness of those rights. The Commissioner assists member States in the implementation of</w:t>
      </w:r>
      <w:r>
        <w:rPr>
          <w:lang w:val="en-US"/>
        </w:rPr>
        <w:t xml:space="preserve"> Council of Europe human rights </w:t>
      </w:r>
      <w:r w:rsidRPr="006F012C">
        <w:rPr>
          <w:lang w:val="en-US"/>
        </w:rPr>
        <w:t>standards, identifies possible shortcomings in their law and practice, facilitates the activities of na</w:t>
      </w:r>
      <w:r>
        <w:rPr>
          <w:lang w:val="en-US"/>
        </w:rPr>
        <w:t xml:space="preserve">tional human rights structures, </w:t>
      </w:r>
      <w:r w:rsidRPr="006F012C">
        <w:rPr>
          <w:lang w:val="en-US"/>
        </w:rPr>
        <w:t>provides advice and information regarding human rights protection and supports human rights defenders.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u w:val="single"/>
          <w:lang w:val="en-US"/>
        </w:rPr>
        <w:t>The Council of Europe</w:t>
      </w:r>
      <w:r w:rsidRPr="006F012C">
        <w:rPr>
          <w:lang w:val="en-US"/>
        </w:rPr>
        <w:t xml:space="preserve"> has its headquarters in Strasbourg (France) and has offices in more than twenty countries. </w:t>
      </w:r>
    </w:p>
    <w:p w:rsidR="006F012C" w:rsidRPr="006F012C" w:rsidRDefault="006F012C" w:rsidP="006F012C">
      <w:pPr>
        <w:spacing w:line="240" w:lineRule="auto"/>
        <w:rPr>
          <w:u w:val="single"/>
          <w:lang w:val="en-US"/>
        </w:rPr>
      </w:pPr>
      <w:r w:rsidRPr="006F012C">
        <w:rPr>
          <w:u w:val="single"/>
          <w:lang w:val="en-US"/>
        </w:rPr>
        <w:t>Your role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As Director of the Office of the Commissioner for Human Rights, and under his/her authority, you will: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assist the Commissioner in the adoption and regular update of a programme of work (country visits, thematic activities,</w:t>
      </w:r>
      <w:r>
        <w:rPr>
          <w:lang w:val="en-US"/>
        </w:rPr>
        <w:t xml:space="preserve"> </w:t>
      </w:r>
      <w:r w:rsidRPr="006F012C">
        <w:rPr>
          <w:lang w:val="en-US"/>
        </w:rPr>
        <w:t>co-operation with national human rights structures, promotion of human rights defenders, contribution to the efficiency of</w:t>
      </w:r>
      <w:r>
        <w:rPr>
          <w:lang w:val="en-US"/>
        </w:rPr>
        <w:t xml:space="preserve"> </w:t>
      </w:r>
      <w:r w:rsidRPr="006F012C">
        <w:rPr>
          <w:lang w:val="en-US"/>
        </w:rPr>
        <w:t>the system of the European Convention on Human Rights);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act as the chief adviser of the Commissioner, notably on political and legal issues relevant to the implementation of the</w:t>
      </w:r>
      <w:r>
        <w:rPr>
          <w:lang w:val="en-US"/>
        </w:rPr>
        <w:t xml:space="preserve"> </w:t>
      </w:r>
      <w:r w:rsidRPr="006F012C">
        <w:rPr>
          <w:lang w:val="en-US"/>
        </w:rPr>
        <w:t>mandate;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ensure the smooth and efficient functioning of the Office, both internally and in its relationships with other institutions</w:t>
      </w:r>
      <w:r>
        <w:rPr>
          <w:lang w:val="en-US"/>
        </w:rPr>
        <w:t xml:space="preserve"> </w:t>
      </w:r>
      <w:r w:rsidRPr="006F012C">
        <w:rPr>
          <w:lang w:val="en-US"/>
        </w:rPr>
        <w:t>within the Council of Europe (Private Office of the Secretary General, Committee of Ministers, Parliamentary Assembly,</w:t>
      </w:r>
      <w:r>
        <w:rPr>
          <w:lang w:val="en-US"/>
        </w:rPr>
        <w:t xml:space="preserve"> </w:t>
      </w:r>
      <w:r w:rsidRPr="006F012C">
        <w:rPr>
          <w:lang w:val="en-US"/>
        </w:rPr>
        <w:t>European Court of Human Rights, and operational sectors);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 xml:space="preserve">manage the Office’s activities and resources in a dynamic environment: ensure effective and efficient </w:t>
      </w:r>
      <w:proofErr w:type="spellStart"/>
      <w:r w:rsidRPr="006F012C">
        <w:rPr>
          <w:lang w:val="en-US"/>
        </w:rPr>
        <w:t>processes,procedures</w:t>
      </w:r>
      <w:proofErr w:type="spellEnd"/>
      <w:r w:rsidRPr="006F012C">
        <w:rPr>
          <w:lang w:val="en-US"/>
        </w:rPr>
        <w:t xml:space="preserve"> and a results-oriented </w:t>
      </w:r>
      <w:proofErr w:type="spellStart"/>
      <w:r w:rsidRPr="006F012C">
        <w:rPr>
          <w:lang w:val="en-US"/>
        </w:rPr>
        <w:t>organisation</w:t>
      </w:r>
      <w:proofErr w:type="spellEnd"/>
      <w:r w:rsidRPr="006F012C">
        <w:rPr>
          <w:lang w:val="en-US"/>
        </w:rPr>
        <w:t>; foster knowledge management; manage the financial and human</w:t>
      </w:r>
      <w:r>
        <w:rPr>
          <w:lang w:val="en-US"/>
        </w:rPr>
        <w:t xml:space="preserve"> </w:t>
      </w:r>
      <w:r w:rsidRPr="006F012C">
        <w:rPr>
          <w:lang w:val="en-US"/>
        </w:rPr>
        <w:t>resources allocated to the Office both within and outside the Ordinary Budget;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lastRenderedPageBreak/>
        <w:t>provide leadership and direction to staff: set clear objectives to staff and ensure their achievement; allocate roles and</w:t>
      </w:r>
      <w:r>
        <w:rPr>
          <w:lang w:val="en-US"/>
        </w:rPr>
        <w:t xml:space="preserve"> </w:t>
      </w:r>
      <w:r w:rsidRPr="006F012C">
        <w:rPr>
          <w:lang w:val="en-US"/>
        </w:rPr>
        <w:t>responsibilities and evaluate performance; facilitate internal communication, foster co-operation and maintain a</w:t>
      </w:r>
      <w:r>
        <w:rPr>
          <w:lang w:val="en-US"/>
        </w:rPr>
        <w:t xml:space="preserve"> </w:t>
      </w:r>
      <w:r w:rsidRPr="006F012C">
        <w:rPr>
          <w:lang w:val="en-US"/>
        </w:rPr>
        <w:t>harmonious working environment with a view to increasing efficiency;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ensure that all those concerned by the activities of the Office, in particular Council of Europe bodies and sectors operating</w:t>
      </w:r>
      <w:r>
        <w:rPr>
          <w:lang w:val="en-US"/>
        </w:rPr>
        <w:t xml:space="preserve"> </w:t>
      </w:r>
      <w:r w:rsidRPr="006F012C">
        <w:rPr>
          <w:lang w:val="en-US"/>
        </w:rPr>
        <w:t>in related fields, are informed regularly and comprehensively;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supervise the preparation of documents submitted to the Committee of Ministers or to the Parliamentary Assembly and</w:t>
      </w:r>
      <w:r>
        <w:rPr>
          <w:lang w:val="en-US"/>
        </w:rPr>
        <w:t xml:space="preserve"> </w:t>
      </w:r>
      <w:r w:rsidRPr="006F012C">
        <w:rPr>
          <w:lang w:val="en-US"/>
        </w:rPr>
        <w:t>ensure their overall coherence and identity;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 xml:space="preserve">establish and maintain contacts with governments, international </w:t>
      </w:r>
      <w:proofErr w:type="spellStart"/>
      <w:r w:rsidRPr="006F012C">
        <w:rPr>
          <w:lang w:val="en-US"/>
        </w:rPr>
        <w:t>organisations</w:t>
      </w:r>
      <w:proofErr w:type="spellEnd"/>
      <w:r w:rsidRPr="006F012C">
        <w:rPr>
          <w:lang w:val="en-US"/>
        </w:rPr>
        <w:t>, partners in civil society and other relevant</w:t>
      </w:r>
      <w:r>
        <w:rPr>
          <w:lang w:val="en-US"/>
        </w:rPr>
        <w:t xml:space="preserve"> </w:t>
      </w:r>
      <w:r w:rsidRPr="006F012C">
        <w:rPr>
          <w:lang w:val="en-US"/>
        </w:rPr>
        <w:t>bodies and institutions, in particular national human rights structures and human rights defenders;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F012C">
        <w:rPr>
          <w:lang w:val="en-US"/>
        </w:rPr>
        <w:t>ensure the visibility of the Office, in close co-operation with the Commissioner;</w:t>
      </w:r>
    </w:p>
    <w:p w:rsidR="006F012C" w:rsidRPr="006F012C" w:rsidRDefault="006F012C" w:rsidP="006F012C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proofErr w:type="gramStart"/>
      <w:r w:rsidRPr="006F012C">
        <w:rPr>
          <w:lang w:val="en-US"/>
        </w:rPr>
        <w:t>promote</w:t>
      </w:r>
      <w:proofErr w:type="gramEnd"/>
      <w:r w:rsidRPr="006F012C">
        <w:rPr>
          <w:lang w:val="en-US"/>
        </w:rPr>
        <w:t xml:space="preserve"> Council of Europe values internally and externally.</w:t>
      </w:r>
    </w:p>
    <w:p w:rsidR="006F012C" w:rsidRPr="006F012C" w:rsidRDefault="006F012C" w:rsidP="006F012C">
      <w:pPr>
        <w:spacing w:line="240" w:lineRule="auto"/>
        <w:rPr>
          <w:u w:val="single"/>
          <w:lang w:val="en-US"/>
        </w:rPr>
      </w:pPr>
      <w:r w:rsidRPr="006F012C">
        <w:rPr>
          <w:u w:val="single"/>
          <w:lang w:val="en-US"/>
        </w:rPr>
        <w:t>What we are looking for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u w:val="single"/>
          <w:lang w:val="en-US"/>
        </w:rPr>
        <w:t>As a minimum, you must: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6F012C">
        <w:rPr>
          <w:lang w:val="en-US"/>
        </w:rPr>
        <w:t>hold a Master’s degree preferably in law, political sciences or international relations (2nd cycle of the Bologna process</w:t>
      </w:r>
      <w:r>
        <w:rPr>
          <w:lang w:val="en-US"/>
        </w:rPr>
        <w:t xml:space="preserve"> </w:t>
      </w:r>
      <w:r w:rsidRPr="006F012C">
        <w:rPr>
          <w:lang w:val="en-US"/>
        </w:rPr>
        <w:t>framework of qualifications for the European Higher Education);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6F012C">
        <w:rPr>
          <w:lang w:val="en-US"/>
        </w:rPr>
        <w:t>have extensive experience in managing human and financial resources at a senior level, including management of teams</w:t>
      </w:r>
      <w:r>
        <w:rPr>
          <w:lang w:val="en-US"/>
        </w:rPr>
        <w:t xml:space="preserve"> </w:t>
      </w:r>
      <w:r w:rsidRPr="006F012C">
        <w:rPr>
          <w:lang w:val="en-US"/>
        </w:rPr>
        <w:t>qualified in independent human rights protection work, preferably in an international and multicultural environment;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6F012C">
        <w:rPr>
          <w:lang w:val="en-US"/>
        </w:rPr>
        <w:t>have extensive knowledge of and experience in dealing with human rights issues in national and international contexts,</w:t>
      </w:r>
      <w:r>
        <w:rPr>
          <w:lang w:val="en-US"/>
        </w:rPr>
        <w:t xml:space="preserve"> </w:t>
      </w:r>
      <w:r w:rsidRPr="006F012C">
        <w:rPr>
          <w:lang w:val="en-US"/>
        </w:rPr>
        <w:t>including in human rights monitoring work;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6F012C">
        <w:rPr>
          <w:lang w:val="en-US"/>
        </w:rPr>
        <w:t>have a very good knowledge of one of the two official languages of the Council of Europe (English or French) and good</w:t>
      </w:r>
      <w:r>
        <w:rPr>
          <w:lang w:val="en-US"/>
        </w:rPr>
        <w:t xml:space="preserve"> </w:t>
      </w:r>
      <w:r w:rsidRPr="006F012C">
        <w:rPr>
          <w:lang w:val="en-US"/>
        </w:rPr>
        <w:t>knowledge of the other;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6F012C">
        <w:rPr>
          <w:lang w:val="en-US"/>
        </w:rPr>
        <w:t>be a citizen of one of the 47 member States of the Council of Europe;</w:t>
      </w:r>
    </w:p>
    <w:p w:rsidR="006F012C" w:rsidRPr="006F012C" w:rsidRDefault="006F012C" w:rsidP="006F012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proofErr w:type="gramStart"/>
      <w:r w:rsidRPr="006F012C">
        <w:rPr>
          <w:lang w:val="en-US"/>
        </w:rPr>
        <w:t>be</w:t>
      </w:r>
      <w:proofErr w:type="gramEnd"/>
      <w:r w:rsidRPr="006F012C">
        <w:rPr>
          <w:lang w:val="en-US"/>
        </w:rPr>
        <w:t xml:space="preserve"> under 65 years of age at the closing date of this vacancy notice.</w:t>
      </w:r>
    </w:p>
    <w:p w:rsidR="006F012C" w:rsidRPr="006F012C" w:rsidRDefault="006F012C" w:rsidP="006F012C">
      <w:pPr>
        <w:spacing w:line="240" w:lineRule="auto"/>
        <w:rPr>
          <w:u w:val="single"/>
          <w:lang w:val="en-US"/>
        </w:rPr>
      </w:pPr>
      <w:r w:rsidRPr="006F012C">
        <w:rPr>
          <w:u w:val="single"/>
          <w:lang w:val="en-US"/>
        </w:rPr>
        <w:t>Demonstrate to us that you have the following competencies:</w:t>
      </w:r>
    </w:p>
    <w:p w:rsidR="006F012C" w:rsidRPr="006F012C" w:rsidRDefault="006F012C" w:rsidP="006F012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6F012C">
        <w:rPr>
          <w:lang w:val="en-US"/>
        </w:rPr>
        <w:t>Professional and technical expertise: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- extensive knowledge of International and European human rights standards and monitoring systems;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- sound experience in human rights protection work, in particular very good knowl</w:t>
      </w:r>
      <w:r>
        <w:rPr>
          <w:lang w:val="en-US"/>
        </w:rPr>
        <w:t xml:space="preserve">edge of a range of human rights </w:t>
      </w:r>
      <w:r w:rsidRPr="006F012C">
        <w:rPr>
          <w:lang w:val="en-US"/>
        </w:rPr>
        <w:t>issues and good knowledge of new and emerging human rights topics;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 xml:space="preserve">- relevant professional experience in </w:t>
      </w:r>
      <w:proofErr w:type="spellStart"/>
      <w:r w:rsidRPr="006F012C">
        <w:rPr>
          <w:lang w:val="en-US"/>
        </w:rPr>
        <w:t>analysing</w:t>
      </w:r>
      <w:proofErr w:type="spellEnd"/>
      <w:r w:rsidRPr="006F012C">
        <w:rPr>
          <w:lang w:val="en-US"/>
        </w:rPr>
        <w:t xml:space="preserve"> institutionally or politically complex</w:t>
      </w:r>
      <w:r>
        <w:rPr>
          <w:lang w:val="en-US"/>
        </w:rPr>
        <w:t xml:space="preserve"> situations and providing sound </w:t>
      </w:r>
      <w:r w:rsidRPr="006F012C">
        <w:rPr>
          <w:lang w:val="en-US"/>
        </w:rPr>
        <w:t>advice to decision-makers;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- knowledge and experience in monitoring and rapid-reaction mechanisms in human rights protection work;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- knowledge of the political and legal situation in Council of Europe member States;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 xml:space="preserve">- </w:t>
      </w:r>
      <w:proofErr w:type="gramStart"/>
      <w:r w:rsidRPr="006F012C">
        <w:rPr>
          <w:lang w:val="en-US"/>
        </w:rPr>
        <w:t>good</w:t>
      </w:r>
      <w:proofErr w:type="gramEnd"/>
      <w:r w:rsidRPr="006F012C">
        <w:rPr>
          <w:lang w:val="en-US"/>
        </w:rPr>
        <w:t xml:space="preserve"> knowledge of both national human rights protection structures and Internat</w:t>
      </w:r>
      <w:r>
        <w:rPr>
          <w:lang w:val="en-US"/>
        </w:rPr>
        <w:t xml:space="preserve">ional and European human rights </w:t>
      </w:r>
      <w:r w:rsidRPr="006F012C">
        <w:rPr>
          <w:lang w:val="en-US"/>
        </w:rPr>
        <w:t>protection systems.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Management of teams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lastRenderedPageBreak/>
        <w:t>Vision and Strategic Insight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proofErr w:type="spellStart"/>
      <w:r w:rsidRPr="00371510">
        <w:rPr>
          <w:lang w:val="en-US"/>
        </w:rPr>
        <w:t>Organisational</w:t>
      </w:r>
      <w:proofErr w:type="spellEnd"/>
      <w:r w:rsidRPr="00371510">
        <w:rPr>
          <w:lang w:val="en-US"/>
        </w:rPr>
        <w:t xml:space="preserve"> and contextual awareness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Leadership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Decision making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Influencing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Relationship building</w:t>
      </w:r>
    </w:p>
    <w:p w:rsidR="006F012C" w:rsidRPr="00371510" w:rsidRDefault="006F012C" w:rsidP="00371510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71510">
        <w:rPr>
          <w:lang w:val="en-US"/>
        </w:rPr>
        <w:t>Communication</w:t>
      </w:r>
    </w:p>
    <w:p w:rsidR="006F012C" w:rsidRPr="00371510" w:rsidRDefault="006F012C" w:rsidP="006F012C">
      <w:pPr>
        <w:spacing w:line="240" w:lineRule="auto"/>
        <w:rPr>
          <w:u w:val="single"/>
          <w:lang w:val="en-US"/>
        </w:rPr>
      </w:pPr>
      <w:r w:rsidRPr="00371510">
        <w:rPr>
          <w:u w:val="single"/>
          <w:lang w:val="en-US"/>
        </w:rPr>
        <w:t>These would be an asset:</w:t>
      </w:r>
    </w:p>
    <w:p w:rsidR="006F012C" w:rsidRPr="00371510" w:rsidRDefault="006F012C" w:rsidP="00371510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371510">
        <w:rPr>
          <w:lang w:val="en-US"/>
        </w:rPr>
        <w:t>Adaptability</w:t>
      </w:r>
    </w:p>
    <w:p w:rsidR="006F012C" w:rsidRPr="00371510" w:rsidRDefault="006F012C" w:rsidP="00371510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371510">
        <w:rPr>
          <w:lang w:val="en-US"/>
        </w:rPr>
        <w:t>Initiative</w:t>
      </w:r>
    </w:p>
    <w:p w:rsidR="006F012C" w:rsidRPr="00371510" w:rsidRDefault="006F012C" w:rsidP="00371510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371510">
        <w:rPr>
          <w:lang w:val="en-US"/>
        </w:rPr>
        <w:t>Resilience</w:t>
      </w:r>
    </w:p>
    <w:p w:rsidR="006F012C" w:rsidRPr="00371510" w:rsidRDefault="006F012C" w:rsidP="006F012C">
      <w:pPr>
        <w:spacing w:line="240" w:lineRule="auto"/>
        <w:rPr>
          <w:u w:val="single"/>
          <w:lang w:val="en-US"/>
        </w:rPr>
      </w:pPr>
      <w:r w:rsidRPr="00371510">
        <w:rPr>
          <w:u w:val="single"/>
          <w:lang w:val="en-US"/>
        </w:rPr>
        <w:t>What we offer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>If successful, you may be offered employment at grade A6. You will receive a basic monthl</w:t>
      </w:r>
      <w:r w:rsidR="00371510">
        <w:rPr>
          <w:lang w:val="en-US"/>
        </w:rPr>
        <w:t xml:space="preserve">y gross salary of €12 366 which </w:t>
      </w:r>
      <w:r w:rsidRPr="006F012C">
        <w:rPr>
          <w:lang w:val="en-US"/>
        </w:rPr>
        <w:t>is exempt from national income tax. This salary may be supplemented by other allowances depen</w:t>
      </w:r>
      <w:r w:rsidR="00371510">
        <w:rPr>
          <w:lang w:val="en-US"/>
        </w:rPr>
        <w:t xml:space="preserve">ding on your personal situation </w:t>
      </w:r>
      <w:r w:rsidRPr="006F012C">
        <w:rPr>
          <w:lang w:val="en-US"/>
        </w:rPr>
        <w:t>and you will be affiliated to a Council of Europe pension scheme. You will also benefit from private medical insurance.</w:t>
      </w:r>
    </w:p>
    <w:p w:rsidR="006F012C" w:rsidRPr="006F012C" w:rsidRDefault="006F012C" w:rsidP="006F012C">
      <w:pPr>
        <w:spacing w:line="240" w:lineRule="auto"/>
        <w:rPr>
          <w:lang w:val="en-US"/>
        </w:rPr>
      </w:pPr>
      <w:r w:rsidRPr="006F012C">
        <w:rPr>
          <w:lang w:val="en-US"/>
        </w:rPr>
        <w:t xml:space="preserve">In accordance with Article 25 of the Regulations on appointments, external candidates </w:t>
      </w:r>
      <w:r w:rsidR="00371510">
        <w:rPr>
          <w:lang w:val="en-US"/>
        </w:rPr>
        <w:t xml:space="preserve">will be appointed on an initial </w:t>
      </w:r>
      <w:r w:rsidRPr="006F012C">
        <w:rPr>
          <w:lang w:val="en-US"/>
        </w:rPr>
        <w:t>two-year contract, constituting a probationary period. If successful, the appointment will be e</w:t>
      </w:r>
      <w:r w:rsidR="00371510">
        <w:rPr>
          <w:lang w:val="en-US"/>
        </w:rPr>
        <w:t xml:space="preserve">xtended for one or more periods </w:t>
      </w:r>
      <w:r w:rsidRPr="006F012C">
        <w:rPr>
          <w:lang w:val="en-US"/>
        </w:rPr>
        <w:t>varying in length between one and five years. Internal candidates will be initially appointed for a tr</w:t>
      </w:r>
      <w:r w:rsidR="00371510">
        <w:rPr>
          <w:lang w:val="en-US"/>
        </w:rPr>
        <w:t xml:space="preserve">ial period of two years. If the </w:t>
      </w:r>
      <w:r w:rsidRPr="006F012C">
        <w:rPr>
          <w:lang w:val="en-US"/>
        </w:rPr>
        <w:t>staff member is confirmed in his/her post at the end of the trial period, he/she shall be re-appoin</w:t>
      </w:r>
      <w:r w:rsidR="00371510">
        <w:rPr>
          <w:lang w:val="en-US"/>
        </w:rPr>
        <w:t xml:space="preserve">ted for three years. At the end </w:t>
      </w:r>
      <w:r w:rsidRPr="006F012C">
        <w:rPr>
          <w:lang w:val="en-US"/>
        </w:rPr>
        <w:t>of the period of five years, he/she shall be either kept in post, or assigned to another post at the same grade.</w:t>
      </w:r>
    </w:p>
    <w:p w:rsidR="006F012C" w:rsidRPr="006F012C" w:rsidRDefault="006F012C" w:rsidP="00371510">
      <w:pPr>
        <w:spacing w:line="240" w:lineRule="auto"/>
        <w:rPr>
          <w:lang w:val="en-US"/>
        </w:rPr>
      </w:pPr>
      <w:r w:rsidRPr="006F012C">
        <w:rPr>
          <w:lang w:val="en-US"/>
        </w:rPr>
        <w:t>Details on conditions of employment including salaries, allowances, pension scheme and so</w:t>
      </w:r>
      <w:r w:rsidR="00371510">
        <w:rPr>
          <w:lang w:val="en-US"/>
        </w:rPr>
        <w:t xml:space="preserve">cial insurance can be consulted </w:t>
      </w:r>
      <w:r w:rsidRPr="006F012C">
        <w:rPr>
          <w:lang w:val="en-US"/>
        </w:rPr>
        <w:t>on our recruitment website. Any changes to these conditions during the recruitment process ar</w:t>
      </w:r>
      <w:r w:rsidR="00371510">
        <w:rPr>
          <w:lang w:val="en-US"/>
        </w:rPr>
        <w:t xml:space="preserve">e updated on this site and will </w:t>
      </w:r>
      <w:r w:rsidRPr="006F012C">
        <w:rPr>
          <w:lang w:val="en-US"/>
        </w:rPr>
        <w:t>apply at the time of the job offer.</w:t>
      </w:r>
    </w:p>
    <w:p w:rsidR="006F012C" w:rsidRPr="00371510" w:rsidRDefault="006F012C" w:rsidP="006F012C">
      <w:pPr>
        <w:rPr>
          <w:u w:val="single"/>
          <w:lang w:val="en-US"/>
        </w:rPr>
      </w:pPr>
      <w:r w:rsidRPr="00371510">
        <w:rPr>
          <w:u w:val="single"/>
          <w:lang w:val="en-US"/>
        </w:rPr>
        <w:t>Applications and selection procedure</w:t>
      </w:r>
    </w:p>
    <w:p w:rsidR="006F012C" w:rsidRPr="006F012C" w:rsidRDefault="006F012C" w:rsidP="006F012C">
      <w:pPr>
        <w:rPr>
          <w:lang w:val="en-US"/>
        </w:rPr>
      </w:pPr>
      <w:r w:rsidRPr="006F012C">
        <w:rPr>
          <w:lang w:val="en-US"/>
        </w:rPr>
        <w:t xml:space="preserve">Deadline for applications is 25 March 2021 (midnight French time). Applications must be </w:t>
      </w:r>
      <w:r w:rsidR="00371510">
        <w:rPr>
          <w:lang w:val="en-US"/>
        </w:rPr>
        <w:t xml:space="preserve">made in English or French using </w:t>
      </w:r>
      <w:r w:rsidRPr="006F012C">
        <w:rPr>
          <w:lang w:val="en-US"/>
        </w:rPr>
        <w:t>the Council of Europe online application system. By connecting to our website www.coe.int/jobs you</w:t>
      </w:r>
      <w:r w:rsidR="00371510">
        <w:rPr>
          <w:lang w:val="en-US"/>
        </w:rPr>
        <w:t xml:space="preserve"> can create and submit your </w:t>
      </w:r>
      <w:r w:rsidRPr="006F012C">
        <w:rPr>
          <w:lang w:val="en-US"/>
        </w:rPr>
        <w:t>online application. Please fill out the online application form providing all requested details an</w:t>
      </w:r>
      <w:r w:rsidR="00371510">
        <w:rPr>
          <w:lang w:val="en-US"/>
        </w:rPr>
        <w:t xml:space="preserve">d explain how your competencies </w:t>
      </w:r>
      <w:r w:rsidRPr="006F012C">
        <w:rPr>
          <w:lang w:val="en-US"/>
        </w:rPr>
        <w:t xml:space="preserve">make you the best candidate for this role. It usually takes a few hours to fill in an application form, </w:t>
      </w:r>
      <w:r w:rsidR="00371510">
        <w:rPr>
          <w:lang w:val="en-US"/>
        </w:rPr>
        <w:t xml:space="preserve">so please take this information </w:t>
      </w:r>
      <w:r w:rsidRPr="006F012C">
        <w:rPr>
          <w:lang w:val="en-US"/>
        </w:rPr>
        <w:t>into consideration while applying.</w:t>
      </w:r>
    </w:p>
    <w:p w:rsidR="006F012C" w:rsidRPr="006F012C" w:rsidRDefault="006F012C" w:rsidP="006F012C">
      <w:pPr>
        <w:rPr>
          <w:lang w:val="en-US"/>
        </w:rPr>
      </w:pPr>
      <w:r w:rsidRPr="006F012C">
        <w:rPr>
          <w:lang w:val="en-US"/>
        </w:rPr>
        <w:t>Only those candidates who are considered to best match the requirements of the job vacanc</w:t>
      </w:r>
      <w:r w:rsidR="00371510">
        <w:rPr>
          <w:lang w:val="en-US"/>
        </w:rPr>
        <w:t xml:space="preserve">y will be selected for the next </w:t>
      </w:r>
      <w:r w:rsidRPr="006F012C">
        <w:rPr>
          <w:lang w:val="en-US"/>
        </w:rPr>
        <w:t>stage of the recruitment procedure. After the preliminary selection has been made, candidates</w:t>
      </w:r>
      <w:r w:rsidR="00371510">
        <w:rPr>
          <w:lang w:val="en-US"/>
        </w:rPr>
        <w:t xml:space="preserve"> for senior management posts at </w:t>
      </w:r>
      <w:r w:rsidRPr="006F012C">
        <w:rPr>
          <w:lang w:val="en-US"/>
        </w:rPr>
        <w:t>the Council of Europe will be subject to a competency assessment. The successful candid</w:t>
      </w:r>
      <w:r w:rsidR="00371510">
        <w:rPr>
          <w:lang w:val="en-US"/>
        </w:rPr>
        <w:t xml:space="preserve">ates shall be invited to attend </w:t>
      </w:r>
      <w:r w:rsidRPr="006F012C">
        <w:rPr>
          <w:lang w:val="en-US"/>
        </w:rPr>
        <w:t>interviews.</w:t>
      </w:r>
    </w:p>
    <w:p w:rsidR="00870D84" w:rsidRPr="006F012C" w:rsidRDefault="006F012C" w:rsidP="006F012C">
      <w:pPr>
        <w:rPr>
          <w:lang w:val="en-US"/>
        </w:rPr>
      </w:pPr>
      <w:r w:rsidRPr="006F012C">
        <w:rPr>
          <w:lang w:val="en-US"/>
        </w:rPr>
        <w:lastRenderedPageBreak/>
        <w:t>As an equal opportunity employer, the Council of Europe welcomes applications from all</w:t>
      </w:r>
      <w:r w:rsidR="00371510">
        <w:rPr>
          <w:lang w:val="en-US"/>
        </w:rPr>
        <w:t xml:space="preserve"> suitably qualified candidates, </w:t>
      </w:r>
      <w:r w:rsidRPr="006F012C">
        <w:rPr>
          <w:lang w:val="en-US"/>
        </w:rPr>
        <w:t xml:space="preserve">irrespective of sex, gender, marital or parental status, sexual orientation, ethnic or social origin, </w:t>
      </w:r>
      <w:r w:rsidR="00371510">
        <w:rPr>
          <w:lang w:val="en-US"/>
        </w:rPr>
        <w:t xml:space="preserve">disability, religion or belief. </w:t>
      </w:r>
      <w:r w:rsidRPr="006F012C">
        <w:rPr>
          <w:lang w:val="en-US"/>
        </w:rPr>
        <w:t>Under its equal opportunities policy, the Council of Europe is aiming to achieve parity</w:t>
      </w:r>
      <w:r w:rsidR="00371510">
        <w:rPr>
          <w:lang w:val="en-US"/>
        </w:rPr>
        <w:t xml:space="preserve"> in the number of women and men </w:t>
      </w:r>
      <w:r w:rsidRPr="006F012C">
        <w:rPr>
          <w:lang w:val="en-US"/>
        </w:rPr>
        <w:t xml:space="preserve">employed at all levels in the </w:t>
      </w:r>
      <w:proofErr w:type="spellStart"/>
      <w:r w:rsidRPr="006F012C">
        <w:rPr>
          <w:lang w:val="en-US"/>
        </w:rPr>
        <w:t>Organisation</w:t>
      </w:r>
      <w:proofErr w:type="spellEnd"/>
      <w:r w:rsidRPr="006F012C">
        <w:rPr>
          <w:lang w:val="en-US"/>
        </w:rPr>
        <w:t>. In the event of equal merit, preference will ther</w:t>
      </w:r>
      <w:r w:rsidR="00371510">
        <w:rPr>
          <w:lang w:val="en-US"/>
        </w:rPr>
        <w:t xml:space="preserve">efore be given to the applicant </w:t>
      </w:r>
      <w:r w:rsidRPr="006F012C">
        <w:rPr>
          <w:lang w:val="en-US"/>
        </w:rPr>
        <w:t>belonging to the under-represented sex in the grade. During the different stages of the recruitme</w:t>
      </w:r>
      <w:r w:rsidR="00371510">
        <w:rPr>
          <w:lang w:val="en-US"/>
        </w:rPr>
        <w:t xml:space="preserve">nt procedure, specific measures </w:t>
      </w:r>
      <w:r w:rsidRPr="006F012C">
        <w:rPr>
          <w:lang w:val="en-US"/>
        </w:rPr>
        <w:t>may be taken to ensure equal opportunities for candidates with disabilities.</w:t>
      </w:r>
    </w:p>
    <w:sectPr w:rsidR="00870D84" w:rsidRPr="006F0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68C"/>
    <w:multiLevelType w:val="hybridMultilevel"/>
    <w:tmpl w:val="218A0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432E"/>
    <w:multiLevelType w:val="hybridMultilevel"/>
    <w:tmpl w:val="FADC7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1205"/>
    <w:multiLevelType w:val="hybridMultilevel"/>
    <w:tmpl w:val="41E20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65F8"/>
    <w:multiLevelType w:val="hybridMultilevel"/>
    <w:tmpl w:val="E1A29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2C"/>
    <w:rsid w:val="00371510"/>
    <w:rsid w:val="006125AB"/>
    <w:rsid w:val="006F012C"/>
    <w:rsid w:val="008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2021-03-16T07:47:00Z</dcterms:created>
  <dcterms:modified xsi:type="dcterms:W3CDTF">2021-03-16T07:47:00Z</dcterms:modified>
</cp:coreProperties>
</file>